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#469 (b2)</w:t>
      </w:r>
    </w:p>
    <w:p>
      <w:r>
        <w:t xml:space="preserve">Prompt: </w:t>
      </w:r>
    </w:p>
    <w:p>
      <w:r>
        <w:t>--------------------</w:t>
      </w:r>
    </w:p>
    <w:p>
      <w:r>
        <w:t>The way buildings are designed greatly affects the quality of life in the places where people live and work. In my opinion, I strongly negative with negative. This essay will provide two reasons supporting my idea.</w:t>
        <w:br/>
        <w:br/>
        <w:t>Poor building design can make neighborhoods feel isolated and unfriendly. In other words, buildings that are too big or too separated from each other make it hard for people to connect. For instance, a large office block with no ground-floor shops forces people to drive everywhere. As a result, local shops suffer, and people spend less time walking around the area. Hence, it becomes evident that poor design weakens community life.</w:t>
        <w:br/>
        <w:br/>
        <w:t>Poor design can also make daily life less convenient for residents. This is primarily due to the fact that bad layouts often create traffic problems and make walking difficult. This can be exemplified by the fact that many new housing areas place shops far from the actual homes. The outcome is that people must use cars for simple trips, which increases pollution. This clearly aligns with the view that poor planning hurts daily convenience.</w:t>
        <w:br/>
        <w:br/>
        <w:t>In conclusion, I strongly disagree that building design is always good for people. Poor design weakens community life, and bad layouts make daily life less convenient for residents.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