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#469 (c1)</w:t>
      </w:r>
    </w:p>
    <w:p>
      <w:r>
        <w:t xml:space="preserve">Prompt: </w:t>
      </w:r>
    </w:p>
    <w:p>
      <w:r>
        <w:t>--------------------</w:t>
      </w:r>
    </w:p>
    <w:p>
      <w:r>
        <w:t>The architectural design of buildings significantly influences the quality of life and productivity within the communities where people reside and work. In my opinion, I strongly positive with positive. This essay will provide two reasons supporting my idea.</w:t>
        <w:br/>
        <w:br/>
        <w:t>A primary benefit of thoughtful building design is the enhancement of community cohesion. In other words, well-planned structures encourage social interaction among residents. For instance, a neighborhood featuring public squares and mixed-use facilities promotes casual encounters. As a result, people feel a greater sense of belonging and mutual support within their locale. Hence, it becomes evident that good design strengthens the social fabric of a community.</w:t>
        <w:br/>
        <w:br/>
        <w:t>Another significant advantage is how design impacts daily functionality and movement. This is primarily due to the fact that efficient layouts promote walkability and reduce reliance on vehicles. This can be exemplified by the fact that compact, pedestrian-friendly urban centers minimize commute times. The outcome is that residents spend less time in traffic and more time engaging in local activities. This clearly aligns with the view that thoughtful planning improves overall livability.</w:t>
        <w:br/>
        <w:br/>
        <w:t>In conclusion, I strongly agree that architectural design positively affects living and working environments. Thoughtful design enhances community cohesion, and efficient layouts improve overall livability.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