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#48 (c1)</w:t>
      </w:r>
    </w:p>
    <w:p>
      <w:r>
        <w:t xml:space="preserve">Prompt: </w:t>
      </w:r>
    </w:p>
    <w:p>
      <w:r>
        <w:t>--------------------</w:t>
      </w:r>
    </w:p>
    <w:p>
      <w:r>
        <w:t>The question of whether consumer goods companies should prioritize their established reputation or focus on short-term promotional strategies is a significant debate in marketing. In my opinion, I strongly agree with agree. This essay will provide two reasons supporting my idea.</w:t>
        <w:br/>
        <w:br/>
        <w:t>Emphasizing a strong reputation allows companies to build lasting consumer trust and loyalty. In other words, a positive brand image suggests reliability and consistent quality to the market. For instance, companies known for ethical sourcing often command premium pricing, regardless of current sales promotions. As a result, consumers are willing to pay more for goods they perceive as authentic and trustworthy. Hence, it becomes evident that reputation forms a solid foundation for sustained market success.</w:t>
        <w:br/>
        <w:br/>
        <w:t>Conversely, relying on short-term strategies, such as deep discounts, can generate immediate sales volume. This is primarily due to the fact that price sensitivity often drives consumer purchasing decisions in the immediate term. This can be exemplified by the fact that seasonal sales events significantly boost foot traffic in retail shops. The outcome is that a company can quickly increase its market share during periods of economic downturn. This clearly aligns with the view that immediate deals are highly effective for boosting quick sales.</w:t>
        <w:br/>
        <w:br/>
        <w:t>In conclusion, I strongly agree with agree. This is clear from emphasizing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