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#48 (c1)</w:t>
      </w:r>
    </w:p>
    <w:p>
      <w:r>
        <w:t xml:space="preserve">Prompt: </w:t>
      </w:r>
    </w:p>
    <w:p>
      <w:r>
        <w:t>--------------------</w:t>
      </w:r>
    </w:p>
    <w:p>
      <w:r>
        <w:t>The question of whether consumer goods companies should prioritize their established reputation or focus on short-term sales tactics is a significant debate in marketing. In my opinion, I strongly agree with agree. This essay will provide two reasons supporting my idea.</w:t>
        <w:br/>
        <w:br/>
        <w:t>Emphasizing a strong brand reputation is crucial for the sustained success of consumer goods companies. In other words, a positive reputation builds trust among the consumer base. For instance, a company known for ethical sourcing of materials will gain favor with conscientious buyers. As a result, consumers are willing to pay a premium for products they perceive as morally sound. Hence, it becomes evident that brand authenticity is a powerful foundation for market growth.</w:t>
        <w:br/>
        <w:br/>
        <w:t>Conversely, relying solely on short-term strategies, such as deep discounts, can provide immediate sales boosts. This is primarily due to the fact that price sensitivity often drives immediate purchasing decisions. This can be exemplified by the fact that seasonal sales generate a sudden surge in foot traffic to a shop. The outcome is that retailers can quickly clear inventory and achieve high quarterly revenue. This clearly aligns with the view that immediate financial gains are paramount for business survival.</w:t>
        <w:br/>
        <w:br/>
        <w:t>In conclusion, I strongly agree with agree. This is clear from emphasizing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