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 (a2_b1)</w:t>
      </w:r>
    </w:p>
    <w:p>
      <w:r>
        <w:t xml:space="preserve">Prompt: </w:t>
      </w:r>
    </w:p>
    <w:p>
      <w:r>
        <w:t>--------------------</w:t>
      </w:r>
    </w:p>
    <w:p>
      <w:r>
        <w:t>People have different ideas about advertisements and what they do for us. In my opinion, I strongly agree with the view that advertisements make people buy things they do not need or cannot afford. This essay will provide two reasons supporting my idea.</w:t>
        <w:br/>
        <w:br/>
        <w:t>On the one hand, advertisements make people buy things they do not need or cannot afford. In other words, they make people want things they do not really need in daily life. For example, ads show people fancy phones that cost much money. As a result, people feel they must buy this phone to look good. This shows that ads can make people spend money they do not have.</w:t>
        <w:br/>
        <w:br/>
        <w:t>On the other hand, advertisements also give people useful information. This is because ads can tell people about new services or better products in daily life. For example, ads might show a new type of healthy food. As a result, people learn about better ways to eat and live. This supports the view that ads can help people improve their life.</w:t>
        <w:br/>
        <w:br/>
        <w:t>In conclusion, I strongly agree with the view that advertisements make people buy things they do not need or cannot afford. This is clear from hand and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