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 (b2)</w:t>
      </w:r>
    </w:p>
    <w:p>
      <w:r>
        <w:t xml:space="preserve">Prompt: </w:t>
      </w:r>
    </w:p>
    <w:p>
      <w:r>
        <w:t>--------------------</w:t>
      </w:r>
    </w:p>
    <w:p>
      <w:r>
        <w:t>Advertisements have generated much discussion regarding whether they encourage people to buy things they do not need, or if they help people by providing useful information. In my opinion, I strongly agree with the view that advertisements make people buy things they do not need or cannot afford. This essay will provide two reasons supporting my idea.</w:t>
        <w:br/>
        <w:br/>
        <w:t>On the one hand, advertisements often make people purchase items they cannot afford. In other words, they create a feeling that we must have the newest things. For instance, ads for phones show people that they must upgrade even if their old one works fine. As a result, people spend money they do not really have. Hence, it becomes evident that these ads encourage impulse buying.</w:t>
        <w:br/>
        <w:br/>
        <w:t>On the other hand, advertisements also give people useful information about products. This is primarily due to the fact that companies need to tell people what their goods do. This can be exemplified by the fact that ads for healthy food explain the benefits of certain vitamins. The outcome is that consumers learn about better ways to improve their life. This clearly aligns with the view that ads can help people make good choices.</w:t>
        <w:br/>
        <w:br/>
        <w:t>In conclusion, I strongly agree with the view that advertisements make people buy things they do not need or cannot afford. This is clear from hand and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