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#51 (b2)</w:t>
      </w:r>
    </w:p>
    <w:p>
      <w:r>
        <w:t xml:space="preserve">Prompt: </w:t>
      </w:r>
    </w:p>
    <w:p>
      <w:r>
        <w:t>--------------------</w:t>
      </w:r>
    </w:p>
    <w:p>
      <w:r>
        <w:t>Some people think that because of technology and science, the work of artists like musicians and painters is not important. In my opinion, I strongly agree with the view that artists such as musicians and painters still have great value despite technology and science. This essay will provide two reasons supporting my idea.</w:t>
        <w:br/>
        <w:br/>
        <w:t>Artists provide a unique form of emotional expression that science cannot replicate. In other words, art allows people to share deep feelings and personal experiences. For instance, a painter can use color to show sadness or joy, which is a feeling. As a result, people can connect with these emotions and feel understood. Hence, it becomes evident that art helps us connect with our feelings in a way that is different from science.</w:t>
        <w:br/>
        <w:br/>
        <w:t>Studying art helps people develop imagination and creative thinking skills. This is primarily due to the fact that art requires us to think outside of normal rules. This can be exemplified by the fact that learning to draw or play music needs us to imagine new forms. The outcome is that students become better problem solvers and think more creatively. This clearly aligns with the view that art education is very useful for a person's life.</w:t>
        <w:br/>
        <w:br/>
        <w:t>In conclusion, I strongly agree with the view that artists such as musicians and painters still have great value despite technology and science. This is because art provides unique emotional expression and helps individuals develop crucial imagination and creative thinking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