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#51 (c1)</w:t>
      </w:r>
    </w:p>
    <w:p>
      <w:r>
        <w:t xml:space="preserve">Prompt: </w:t>
      </w:r>
    </w:p>
    <w:p>
      <w:r>
        <w:t>--------------------</w:t>
      </w:r>
    </w:p>
    <w:p>
      <w:r>
        <w:t>The rapid advancements in technology and science have led some individuals to question the inherent value of artistic pursuits. In my opinion, I strongly agree with the view that artists such as musicians and painters still have great value despite technology and science. This essay will provide two reasons supporting my idea.</w:t>
        <w:br/>
        <w:br/>
        <w:t>Artists contribute significantly to human emotional life and cultural identity. In other words, art provides a unique channel for emotional expression that scientific research cannot replicate. For instance, a painter can capture the fleeting emotion of joy or sorrow using color and composition. As a result, these visual narratives allow viewers to process complex feelings and connect with shared human experiences. Hence, it becomes evident that art enriches our collective emotional landscape.</w:t>
        <w:br/>
        <w:br/>
        <w:t>Furthermore, artistic study fosters essential skills in critical thinking and imaginative problem-solving. This is primarily due to the fact that creating art requires individuals to interpret abstract concepts and develop original perspectives. This can be exemplified by the fact that a musician must structure a melody, balancing technical skill with emotional depth. The outcome is that students develop a sophisticated ability to think outside conventional boundaries. This clearly aligns with the view that art education is crucial for holistic intellectual development.</w:t>
        <w:br/>
        <w:br/>
        <w:t>In conclusion, I strongly agree with the view that artists such as musicians and painters still have great value despite technology and science. This is because art enriches our collective emotional landscape and cultivates sophisticated abilities in critical thinking and imaginative problem-solving.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