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#52 (c1)</w:t>
      </w:r>
    </w:p>
    <w:p>
      <w:r>
        <w:t xml:space="preserve">Prompt: </w:t>
      </w:r>
    </w:p>
    <w:p>
      <w:r>
        <w:t>--------------------</w:t>
      </w:r>
    </w:p>
    <w:p>
      <w:r>
        <w:t>The purpose of advanced academic study is often debated, with some arguing it should serve a function beyond career preparation. In my opinion, I strongly agree with the view that the sole aim of higher education is to prepare people for employment. This essay will provide two reasons supporting my idea.</w:t>
        <w:br/>
        <w:br/>
        <w:t>A primary function of higher education is equipping graduates with practical skills necessary for the modern job market. In other words, academic institutions should prioritize vocational relevance alongside theoretical knowledge. For instance, universities could integrate mandatory internships or industry-specific projects into degree curricula. As a result, students gain tangible work experience and build professional networks before graduation. Hence, it becomes evident that career readiness should be a central pillar of academic design.</w:t>
        <w:br/>
        <w:br/>
        <w:t>Furthermore, the economic stability of a nation relies heavily on a skilled workforce, making employment preparation crucial. This is primarily due to the fact that employers consistently seek candidates who possess immediately applicable competencies. This can be exemplified by the fact that tech companies often prefer applicants with demonstrable portfolio work over purely academic credentials. The outcome is that the educational system must adapt rapidly to meet evolving industrial demands. This clearly aligns with the view that career preparation is the ultimate goal of tertiary learning.</w:t>
        <w:br/>
        <w:br/>
        <w:t>In conclusion, I strongly agree that the sole aim of higher education is to prepare people for employment. Institutions must focus on integrating practical skills and ensuring graduates possess immediately applicable competencies to meet the needs of the job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