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#56 (a2_b1)</w:t>
      </w:r>
    </w:p>
    <w:p>
      <w:r>
        <w:t xml:space="preserve">Prompt: </w:t>
      </w:r>
    </w:p>
    <w:p>
      <w:r>
        <w:t>--------------------</w:t>
      </w:r>
    </w:p>
    <w:p>
      <w:r>
        <w:t>Learning by doing is a way to learn things in school. In my opinion, I strongly agree with the view that learning by doing things works well in schools. This essay will provide two reasons supporting my idea.</w:t>
        <w:br/>
        <w:br/>
        <w:t>Hands-on activities help students learn better. In other words, students learn by doing tasks, not just by reading in daily life for many people. For example, students can build a model of a volcano in science class in daily life for many people. As a result, they understand how volcanoes work much better in daily life. This shows that practical tasks make learning more real.</w:t>
        <w:br/>
        <w:br/>
        <w:t>Another reason is that group work helps students talk with others. This is because working together lets students share ideas and help each other in daily life for many people. For example, students can plan a group project about local history in daily life for many people. As a result, they learn to talk with people and work as a team in daily life. This supports the view that group activities build social skills.</w:t>
        <w:br/>
        <w:br/>
        <w:t>In conclusion, I strongly agree with the view that experiential learning can work well in formal education. This is because hands-on activities make learning more real, and group work helps students build social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