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#56 (b2)</w:t>
      </w:r>
    </w:p>
    <w:p>
      <w:r>
        <w:t xml:space="preserve">Prompt: </w:t>
      </w:r>
    </w:p>
    <w:p>
      <w:r>
        <w:t>--------------------</w:t>
      </w:r>
    </w:p>
    <w:p>
      <w:r>
        <w:t>There is a discussion about whether learning by doing, or experiential learning, is effective in formal education settings. In my opinion, I strongly agree with the view that experiential learning can work well in formal education. This essay will provide two reasons supporting my idea.</w:t>
        <w:br/>
        <w:br/>
        <w:t>Experiential learning helps students gain practical skills that they need for their future jobs. In other words, it moves beyond just reading facts to actually using knowledge. For instance, a group activity where students plan a mock event teaches them teamwork and time management. As a result, they learn how to solve problems in a real-world way, not just on paper. Hence, it becomes evident that this approach makes learning much more useful for students.</w:t>
        <w:br/>
        <w:br/>
        <w:t>Experiential learning also improves students' ability to think critically about subjects. This is primarily due to the fact that students must apply what they learn to new situations. This can be exemplified by the fact that students conducting a field trip must observe and record data themselves. The outcome is that they develop better observation skills and learn to analyze information. This clearly aligns with the view that hands-on methods boost critical thinking.</w:t>
        <w:br/>
        <w:br/>
        <w:t>In conclusion, I strongly agree that experiential learning is valuable. This approach helps students gain practical skills and also improves their ability to think critically.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