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#56 (c1)</w:t>
      </w:r>
    </w:p>
    <w:p>
      <w:r>
        <w:t xml:space="preserve">Prompt: </w:t>
      </w:r>
    </w:p>
    <w:p>
      <w:r>
        <w:t>--------------------</w:t>
      </w:r>
    </w:p>
    <w:p>
      <w:r>
        <w:t>The debate surrounding educational methods often contrasts hands-on learning with conventional classroom instruction. In my opinion, I strongly agree with the view that experiential learning can work well in formal education. This essay will provide two reasons supporting my idea.</w:t>
        <w:br/>
        <w:br/>
        <w:t>Experiential learning significantly enhances students' practical skills by requiring active participation. In other words, students move beyond passive reception of information to actively engaging with subject matter. For instance, conducting a simulated market exchange allows students to apply economic principles in a dynamic setting. As a result, they gain invaluable experience in negotiation and problem-solving that textbooks cannot provide. Hence, it becomes evident that this approach fosters genuine understanding and competence.</w:t>
        <w:br/>
        <w:br/>
        <w:t>Furthermore, this method cultivates crucial critical thinking abilities necessary for modern life. This is primarily due to the fact that tackling real-world scenarios forces students to analyze complex situations. This can be exemplified by the fact that planning a community service project requires resource allocation and ethical consideration. The outcome is that students develop a deeper capacity for critical analysis, improving their overall academic progress. This clearly aligns with the view that such practical application is highly beneficial for academic growth.</w:t>
        <w:br/>
        <w:br/>
        <w:t>In conclusion, I strongly agree with the view that experiential learning can work well in formal education. This is because it significantly enhances practical skills through active participation and cultivates crucial critical thinking abilities by tackling real-world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