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#56 (c1)</w:t>
      </w:r>
    </w:p>
    <w:p>
      <w:r>
        <w:t xml:space="preserve">Prompt: </w:t>
      </w:r>
    </w:p>
    <w:p>
      <w:r>
        <w:t>--------------------</w:t>
      </w:r>
    </w:p>
    <w:p>
      <w:r>
        <w:t>The debate surrounding educational methods often contrasts hands-on learning with conventional teaching structures. In my opinion, I strongly disagree with the view that experiential learning can work well in formal education. This essay will provide two reasons supporting my idea.</w:t>
        <w:br/>
        <w:br/>
        <w:t>Traditional classroom settings provide a necessary structure for academic progress. In other words, structured instruction ensures that students cover a comprehensive range of subject matter. For instance, a lecture format allows the instructor to systematically introduce complex theories, such as advanced calculus. As a result, students receive a foundational understanding of concepts before attempting practical application. Hence, it becomes evident that the controlled environment of traditional learning is highly beneficial for initial knowledge acquisition.</w:t>
        <w:br/>
        <w:br/>
        <w:t>Furthermore, traditional pedagogy is crucial for developing deep critical thinking skills. This is primarily due to the fact that structured assignments require students to process information logically and sequentially. This can be exemplified by the fact that writing a formal essay demands adherence to specific academic conventions and citation styles. The outcome is that students refine their ability to articulate complex arguments in a coherent manner. This clearly aligns with the view that structured academic environments are superior for intellectual development.</w:t>
        <w:br/>
        <w:br/>
        <w:t>In conclusion, I strongly disagree with the view that experiential learning can work well in formal education. This is because traditional settings ensure comprehensive foundational knowledge acquisition and are crucial for developing deep critical thinking skills through structured assignments.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