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#59 (a2_b1)</w:t>
      </w:r>
    </w:p>
    <w:p>
      <w:r>
        <w:t xml:space="preserve">Prompt: </w:t>
      </w:r>
    </w:p>
    <w:p>
      <w:r>
        <w:t>--------------------</w:t>
      </w:r>
    </w:p>
    <w:p>
      <w:r>
        <w:t>Some people have different ideas about putting advertisements in schools. In my opinion, I strongly agree with the view that placing advertisements in schools exploits children. This essay will provide two reasons supporting my idea.</w:t>
        <w:br/>
        <w:br/>
        <w:t>On the one hand, advertisements in schools can make students feel uncomfortable. In other words, these ads take up space that should be for learning in daily life for many people. For example, a poster for a sugary drink might be near the reading area in daily life. As a result, students might think that learning is less important than buying things in daily life. This shows that ads distract students from their studies.</w:t>
        <w:br/>
        <w:br/>
        <w:t>On the other hand, some people say ads help schools earn money. This is because schools need money to buy books and run programs in daily life. For example, a local shop might pay money to put up a sign in daily life. As a result, the school gets funds for better facilities in daily life. This supports the view that ads are useful for school funding.</w:t>
        <w:br/>
        <w:br/>
        <w:t>In conclusion, I strongly agree that placing advertisements in schools exploits children. Ads make students feel uncomfortable, and they are not always useful for school funding.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