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#59 (b2)</w:t>
      </w:r>
    </w:p>
    <w:p>
      <w:r>
        <w:t xml:space="preserve">Prompt: </w:t>
      </w:r>
    </w:p>
    <w:p>
      <w:r>
        <w:t>--------------------</w:t>
      </w:r>
    </w:p>
    <w:p>
      <w:r>
        <w:t>The topic of placing advertisements in schools has generated two different views among people. In my opinion, I strongly agree with the view that placing advertisements in schools exploits children. This essay will provide two reasons supporting my idea.</w:t>
        <w:br/>
        <w:br/>
        <w:t>On the one hand, placing advertisements in schools can exploit students' minds. In other words, these ads make children feel pressure to buy things. For instance, ads for expensive gadgets show students what they should own. As a result, students might feel bad about their family's money or possessions. Hence, it becomes evident that this practice harms the students' sense of self-worth.</w:t>
        <w:br/>
        <w:br/>
        <w:t>On the other hand, some people argue that ads help raise awareness about products. This is primarily due to the fact that schools are places where many people gather. This can be exemplified by the fact that health product ads teach students about good habits. The outcome is that students learn about different items and services available. This clearly aligns with the view that advertising can be useful for education.</w:t>
        <w:br/>
        <w:br/>
        <w:t>In conclusion, I strongly agree with the view that placing advertisements in schools exploits children. The negative impact on students' self-worth and the potential for commercial pressure are greater than the educational benefits of product awareness.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