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#59 (c1)</w:t>
      </w:r>
    </w:p>
    <w:p>
      <w:r>
        <w:t xml:space="preserve">Prompt: </w:t>
      </w:r>
    </w:p>
    <w:p>
      <w:r>
        <w:t>--------------------</w:t>
      </w:r>
    </w:p>
    <w:p>
      <w:r>
        <w:t>The placement of advertisements within educational institutions is a topic that generates two distinct viewpoints. In my opinion, I strongly agree with the view that placing advertisements in schools is a great resource for additional funding. This essay will provide two reasons supporting my idea.</w:t>
        <w:br/>
        <w:br/>
        <w:t>On the one hand, integrating advertisements into schools can provide substantial financial resources for educational programs. In other words, these revenue streams can supplement limited public funding, allowing for enhanced facilities and resources. For instance, a local corporation might sponsor a wing of the library in exchange for prominent signage. As a result, the school can afford to purchase advanced technological equipment or hire specialized staff. Hence, it becomes evident that such partnerships greatly benefit the overall educational environment.</w:t>
        <w:br/>
        <w:br/>
        <w:t>On the other hand, critics argue that commercialization compromises the academic integrity of the learning space. This is primarily due to the fact that constant commercial messaging can distract students from their primary educational focus. This can be exemplified by the fact that excessive branding might overshadow the scholarly atmosphere of the campus. The outcome is that students may perceive the school as a commercial enterprise rather than a sanctuary for knowledge. This clearly aligns with the view that such advertising diminishes the educational value.</w:t>
        <w:br/>
        <w:br/>
        <w:t>In conclusion, I strongly agree that placing advertisements in schools is a valuable resource for additional funding. The financial benefits derived from advertising, alongside the need to consider the academic integrity of the learning space, confirm this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