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#59 (c1)</w:t>
      </w:r>
    </w:p>
    <w:p>
      <w:r>
        <w:t xml:space="preserve">Prompt: </w:t>
      </w:r>
    </w:p>
    <w:p>
      <w:r>
        <w:t>--------------------</w:t>
      </w:r>
    </w:p>
    <w:p>
      <w:r>
        <w:t>The placement of advertisements within educational institutions has generated considerable debate, with people holding two differing perspectives. In my opinion, I strongly agree with the view that placing advertisements in schools exploits children. This essay will provide two reasons supporting my idea.</w:t>
        <w:br/>
        <w:br/>
        <w:t>On the one hand, the presence of advertisements in schools poses a significant threat to the learning environment. In other words, these commercial displays distract students from their academic pursuits. For instance, a poster promoting sugary drinks might divert attention away from a history lesson. As a result, students may become more focused on consumerism than on scholarly knowledge. Hence, it becomes evident that such advertising undermines the educational mission of the school.</w:t>
        <w:br/>
        <w:br/>
        <w:t>On the other hand, some argue that advertisements can provide necessary funding for school improvements. This is primarily due to the fact that schools require substantial financial resources for maintenance and programs. This can be exemplified by the fact that a local business might sponsor a science fair through advertising. The outcome is that the school gains much-needed capital to enhance facilities and educational activities. This clearly aligns with the view that advertising can support institutional growth.</w:t>
        <w:br/>
        <w:br/>
        <w:t>In conclusion, I strongly agree that placing advertisements in schools exploits children because the distraction they cause outweighs the financial support they might provide.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