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 (a2_b1)</w:t>
      </w:r>
    </w:p>
    <w:p>
      <w:r>
        <w:t xml:space="preserve">Prompt: </w:t>
      </w:r>
    </w:p>
    <w:p>
      <w:r>
        <w:t>--------------------</w:t>
      </w:r>
    </w:p>
    <w:p>
      <w:r>
        <w:t>As cities grow, governments must decide how to improve movement for people. In my opinion, I strongly disagree with the idea that cities should improve public transport rather than build more roads. This essay will provide two reasons supporting my idea.</w:t>
        <w:br/>
        <w:br/>
        <w:t>Building more roads for cars is still important for city life. In other words, cars help people move goods and people quickly. For example, a new road can let trucks bring food to the market. As a result, shops can get goods faster, and people can buy food easily. This shows that roads are needed for the economy to work well.</w:t>
        <w:br/>
        <w:br/>
        <w:t>Public transport is good, but roads are also needed for city life. This is because cars give people the ability to go where they want. For example, a family with many children needs a car for daily trips. As a result, they can take everyone to school and to the park easily. This supports the view that roads are necessary for family life.</w:t>
        <w:br/>
        <w:br/>
        <w:t>In conclusion, I strongly disagree with the idea that cities should improve public transport rather than build more roads. Both roads for cars and public transport are needed to help people move goods and people in a city.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