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 (b2)</w:t>
      </w:r>
    </w:p>
    <w:p>
      <w:r>
        <w:t xml:space="preserve">Prompt: </w:t>
      </w:r>
    </w:p>
    <w:p>
      <w:r>
        <w:t>--------------------</w:t>
      </w:r>
    </w:p>
    <w:p>
      <w:r>
        <w:t>As cities grow and expand, many people discuss whether governments should focus on improving public transport or building more roads for car owners. In my opinion, I strongly disagree with the idea that cities should improve public transport rather than build more roads. This essay will provide two reasons supporting my idea.</w:t>
        <w:br/>
        <w:br/>
        <w:t>Building more roads is necessary for supporting the needs of car owners. In other words, roads provide essential access for people who must use private vehicles daily. For instance, a new highway can connect residential areas to job centers quickly. As a result, this helps people who do not live near good public transport routes. Hence, it becomes evident that roads are vital for maintaining current levels of mobility.</w:t>
        <w:br/>
        <w:br/>
        <w:t>Furthermore, roads help support local economies and businesses. This is primarily due to the fact that goods and services must be transported by trucks and vans. This can be exemplified by the fact that commercial deliveries rely heavily on road networks. The outcome is that businesses can keep their goods moving and continue operating smoothly. This clearly aligns with the view that road building is a key part of city development.</w:t>
        <w:br/>
        <w:br/>
        <w:t>In conclusion, I strongly disagree with the idea that cities should improve public transport rather than build more roads. Both building more roads for car owners and supporting local economies through road networks are important for city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