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#60 (c1)</w:t>
      </w:r>
    </w:p>
    <w:p>
      <w:r>
        <w:t xml:space="preserve">Prompt: </w:t>
      </w:r>
    </w:p>
    <w:p>
      <w:r>
        <w:t>--------------------</w:t>
      </w:r>
    </w:p>
    <w:p>
      <w:r>
        <w:t>There are two differing perspectives regarding whether educational institutions should organize students based on their academic aptitudes or maintain mixed learning groups. In my opinion, I strongly agree with the view that schools should group students according to their academic abilities. This essay will provide two reasons supporting my idea.</w:t>
        <w:br/>
        <w:br/>
        <w:t>On the one hand, grouping students by ability levels offers substantial educational benefits. In other words, placing students with similar aptitudes together allows for a more focused curriculum delivery. For instance, advanced learners can engage with complex material, while those needing support receive targeted instruction. As a result, the pace of learning can be optimized for each cohort, maximizing individual potential. Hence, it becomes evident that ability grouping promotes deeper academic engagement and mastery.</w:t>
        <w:br/>
        <w:br/>
        <w:t>On the other hand, mixed groups are also argued to provide a valuable learning experience. This is primarily due to the fact that interaction with peers of varying abilities fosters mutual understanding. This can be exemplified by the fact that high-achieving students teach empathy, and struggling students gain confidence from their classmates. The outcome is that students develop crucial social skills alongside their academic knowledge. This clearly aligns with the view that mixed groups promote holistic development and social competence.</w:t>
        <w:br/>
        <w:br/>
        <w:t>In conclusion, I strongly agree with the view that schools should group students according to their academic abilities. While mixed groups certainly promote social competence, the focused environment of ability groups is superior for maximizing academic engagement and mastery.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