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#60 (c1)</w:t>
      </w:r>
    </w:p>
    <w:p>
      <w:r>
        <w:t xml:space="preserve">Prompt: </w:t>
      </w:r>
    </w:p>
    <w:p>
      <w:r>
        <w:t>--------------------</w:t>
      </w:r>
    </w:p>
    <w:p>
      <w:r>
        <w:t>There are two differing perspectives regarding whether students should be grouped by their academic abilities or placed in mixed groups. In my opinion, I strongly agree with the view that students achieve better performance in mixed groups. This essay will provide two reasons supporting my idea.</w:t>
        <w:br/>
        <w:br/>
        <w:t>On the one hand, grouping students by ability levels is often advocated for educational efficiency. In other words, placing students with similar aptitudes together allows for tailored instruction. For instance, advanced learners can receive challenging material, while those needing support receive focused attention. As a result, the pace of learning can be optimized for each specific cohort. Hence, it becomes evident that homogeneous grouping can maximize academic progress for certain students.</w:t>
        <w:br/>
        <w:br/>
        <w:t>On the other hand, mixed groups offer a richer and more comprehensive learning experience. This is primarily due to the fact that students learn valuable social skills from their peers. This can be exemplified by the fact that a high-achieving student can mentor a struggling classmate, and vice versa. The outcome is that students develop empathy and improve communication skills alongside their academic knowledge. This clearly aligns with the view that mixed groups foster holistic development.</w:t>
        <w:br/>
        <w:br/>
        <w:t>In conclusion, I strongly agree with the view that students achieve better performance in mixed groups. While homogeneous grouping offers specialized academic progress, the benefits of mixed groups in fostering holistic development and social skills are more valuable.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