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#61 (a2_b1)</w:t>
      </w:r>
    </w:p>
    <w:p>
      <w:r>
        <w:t xml:space="preserve">Prompt: </w:t>
      </w:r>
    </w:p>
    <w:p>
      <w:r>
        <w:t>--------------------</w:t>
      </w:r>
    </w:p>
    <w:p>
      <w:r>
        <w:t>Some people think that the law changes how people act. In my opinion, I strongly disagree with the view that the law changes our behavior. This essay will provide two reasons supporting my idea.</w:t>
        <w:br/>
        <w:br/>
        <w:t>The law does not change people's actions. In other words, people already have their own ways of acting in daily life for many people. For example, people might walk in a certain way even if the law does not say so in daily life today. As a result, the law only tells people what they should do in daily life. This shows that people decide their own actions.</w:t>
        <w:br/>
        <w:br/>
        <w:t>The law does not control people's thoughts. This is because people think about many things in their minds in daily life for many people. For example, a person might think about their family when they are outside in daily life for many people. As a result, the law cannot stop a person from thinking about their family in daily life. This supports the view that people think for themselves.</w:t>
        <w:br/>
        <w:br/>
        <w:t>In conclusion, I strongly disagree with the view that the law changes our behavior. The law does not change people's actions, and it also does not control people's thoughts.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