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#61 (b2)</w:t>
      </w:r>
    </w:p>
    <w:p>
      <w:r>
        <w:t xml:space="preserve">Prompt: </w:t>
      </w:r>
    </w:p>
    <w:p>
      <w:r>
        <w:t>--------------------</w:t>
      </w:r>
    </w:p>
    <w:p>
      <w:r>
        <w:t>It is often debated whether legal rules have a strong effect on how people act in daily life. In my opinion, I strongly agree with the view that the law changes our behavior. This essay will provide two reasons supporting my idea.</w:t>
        <w:br/>
        <w:br/>
        <w:t>Laws can guide people to act in certain ways. In other words, they set clear expectations for what is acceptable in a community. For instance, traffic laws require drivers to stop at red lights. As a result, this simple rule helps prevent many accidents and keeps people safe. Hence, it becomes evident that laws help maintain order and safety in public spaces.</w:t>
        <w:br/>
        <w:br/>
        <w:t>Another reason is that laws create a sense of shared responsibility among citizens. This is primarily due to the fact that people feel they must follow rules to keep society running well. This can be exemplified by the fact that laws against littering encourage everyone to keep public areas clean. The outcome is that people take more care of their surroundings, which improves the quality of life for all. This clearly aligns with the view that laws influence positive community habits.</w:t>
        <w:br/>
        <w:br/>
        <w:t>In conclusion, I strongly agree that laws change our behavior. Laws help maintain order and safety, and they also create a sense of shared responsibility among citizens.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