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#61 (b2)</w:t>
      </w:r>
    </w:p>
    <w:p>
      <w:r>
        <w:t xml:space="preserve">Prompt: </w:t>
      </w:r>
    </w:p>
    <w:p>
      <w:r>
        <w:t>--------------------</w:t>
      </w:r>
    </w:p>
    <w:p>
      <w:r>
        <w:t>Some people believe that laws are the main reason for changing how people act in society. In my opinion, I strongly disagree with the view that the law changes our behavior. This essay will provide two reasons supporting my idea.</w:t>
        <w:br/>
        <w:br/>
        <w:t>Laws do not change people's behavior in the way people think. In other words, people often follow laws because they already believe in the right thing to do. For instance, people recycle materials because they care about the environment, not just because a law forces them to. As a result, the law just supports actions that people already feel are good. Hence, it becomes evident that personal values are more important than legal rules.</w:t>
        <w:br/>
        <w:br/>
        <w:t>People's actions are shaped by many things besides legal rules. This is primarily due to the fact that culture, family, and personal beliefs have a much bigger impact. This can be exemplified by the fact that a family's traditions teach good manners, even if no law exists. The outcome is that these strong social bonds guide our daily choices more than any written rule. This clearly aligns with the view that internal motivation drives our actions.</w:t>
        <w:br/>
        <w:br/>
        <w:t>In conclusion, I strongly disagree with the view that the law changes our behavior. People's actions are guided by personal values, and internal motivation plays a bigger role than legal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