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#61 (c1)</w:t>
      </w:r>
    </w:p>
    <w:p>
      <w:r>
        <w:t xml:space="preserve">Prompt: </w:t>
      </w:r>
    </w:p>
    <w:p>
      <w:r>
        <w:t>--------------------</w:t>
      </w:r>
    </w:p>
    <w:p>
      <w:r>
        <w:t>The relationship between legal frameworks and human conduct is a subject of considerable academic discussion. In my opinion, I strongly agree with the view that the law changes our behavior. This essay will provide two reasons supporting my idea.</w:t>
        <w:br/>
        <w:br/>
        <w:t>Laws establish guidelines for societal interaction, thereby shaping how individuals conduct themselves. In other words, these regulations provide a structured expectation for acceptable actions within a community. For instance, traffic laws dictate when and how people must operate vehicles, ensuring order on the roads. As a result, the widespread adherence to these rules significantly reduces accidents and promotes public safety. Hence, it becomes evident that legislation plays a crucial role in maintaining disciplined social order.</w:t>
        <w:br/>
        <w:br/>
        <w:t>Furthermore, legal statutes can influence moral choices by establishing clear boundaries of acceptable conduct. This is primarily due to the fact that the threat of penalties acts as a powerful deterrent against wrongdoing. This can be exemplified by the fact that anti-corruption laws discourage bribery, thereby promoting transparency in public life. The outcome is that citizens and institutions are compelled to operate with greater integrity and accountability. This clearly aligns with the view that legal structures significantly impact personal ethics.</w:t>
        <w:br/>
        <w:br/>
        <w:t>In conclusion, I strongly agree with the view that the law changes our behavior. This is because legislation establishes structured guidelines for societal interaction, and legal statutes also influence moral choices by providing a powerful deterrent against wrongdoing.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