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#61 (c1)</w:t>
      </w:r>
    </w:p>
    <w:p>
      <w:r>
        <w:t xml:space="preserve">Prompt: </w:t>
      </w:r>
    </w:p>
    <w:p>
      <w:r>
        <w:t>--------------------</w:t>
      </w:r>
    </w:p>
    <w:p>
      <w:r>
        <w:t>The extent to which legal frameworks influence human actions is a subject of considerable academic debate. In my opinion, I strongly disagree with the view that the law changes our behavior. This essay will provide two reasons supporting my idea.</w:t>
        <w:br/>
        <w:br/>
        <w:t>Laws primarily reflect existing societal values rather than dictating fundamental human behavior. In other words, legislation often codifies what a community already considers acceptable or necessary. For instance, traffic laws mandate specific driving patterns, yet people often find creative ways to circumvent these rules. As a result, the mere existence of a law does not guarantee perfect adherence among the populace. Hence, it becomes evident that human agency plays a significant role in interpreting and following regulations.</w:t>
        <w:br/>
        <w:br/>
        <w:t>The primary influence on human conduct stems from internal moral compasses and social pressures, not solely from legal mandates. This is primarily due to the fact that people are motivated by intrinsic desires for community approval and personal integrity. This can be exemplified by the fact that people often choose ethical actions, even when no specific law requires it. The outcome is that moral obligation frequently drives better conduct than the threat of legal penalty. This clearly aligns with the view that internal discipline is the main driver of positive social change.</w:t>
        <w:br/>
        <w:br/>
        <w:t>In conclusion, I strongly disagree with the view that the law changes our behavior. This is because legislation merely codifies existing societal values, and human conduct is predominantly influenced by intrinsic moral compasses and social pressures.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