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#63 (c1)</w:t>
      </w:r>
    </w:p>
    <w:p>
      <w:r>
        <w:t xml:space="preserve">Prompt: </w:t>
      </w:r>
    </w:p>
    <w:p>
      <w:r>
        <w:t>--------------------</w:t>
      </w:r>
    </w:p>
    <w:p>
      <w:r>
        <w:t>The debate surrounding academic institutions deducting marks for late submissions is a persistent topic of discussion. In my opinion, I strongly disagree with the view that universities should deduct marks from work that is handed in late. This essay will provide two reasons supporting my idea.</w:t>
        <w:br/>
        <w:br/>
        <w:t>Such penalties often fail to account for the complex circumstances students may face. In other words, academic performance is influenced by factors beyond mere time management. For instance, a student might experience a sudden family emergency or a bout of illness. As a result, penalizing the work itself diminishes the focus on the quality of the submitted ideas. Hence, it becomes evident that a more compassionate approach is warranted.</w:t>
        <w:br/>
        <w:br/>
        <w:t>Late submission penalties can negatively impact the student's overall motivation and learning experience. This is primarily due to the fact that such punitive measures create unnecessary stress and anxiety among learners. This can be exemplified by the fact that students may begin to fear academic challenges rather than viewing them as opportunities for growth. The outcome is that the educational environment becomes overly punitive, hindering genuine intellectual curiosity. This clearly aligns with the view that academic support should prioritize student well-being.</w:t>
        <w:br/>
        <w:br/>
        <w:t>In conclusion, I strongly disagree with the view that universities should deduct marks for late submissions. Institutions should recognize that external factors affect academic performance, and that maintaining student motivation is more crucial than enforcing strict deadlines.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