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(b2)</w:t>
      </w:r>
    </w:p>
    <w:p>
      <w:r>
        <w:t xml:space="preserve">Prompt: </w:t>
      </w:r>
    </w:p>
    <w:p>
      <w:r>
        <w:t>--------------------</w:t>
      </w:r>
    </w:p>
    <w:p>
      <w:r>
        <w:t>The question of whether public money should fund space exploration, despite many local needs, is a subject of much debate. In my opinion, I strongly disagree with the view that public funding should be allocated to space travel despite other pressing issues. This essay will provide two reasons supporting my idea.</w:t>
        <w:br/>
        <w:br/>
        <w:t>Funding space travel takes money away from important areas like healthcare and education. In other words, these essential services need the funds that space programs use. For instance, a city might need to fix its schools or build new hospitals. As a result, cutting funds for these areas hurts many people's daily lives. Hence, it becomes evident that these local needs are more important than space missions.</w:t>
        <w:br/>
        <w:br/>
        <w:t>Focusing on space travel distracts from solving immediate global problems. This is primarily due to the fact that issues like poverty and climate change need immediate attention. This can be exemplified by the fact that developing nations face food shortages and lack clean water. The outcome is that resources should be used to help people survive and improve their lives. This clearly aligns with the view that local human needs must come first.</w:t>
        <w:br/>
        <w:br/>
        <w:t>In conclusion, I strongly disagree with the view that public funding should be allocated to space travel. We must prioritize local needs, and we should focus on solving immediate global problems instead of space 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