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#64 (c1)</w:t>
      </w:r>
    </w:p>
    <w:p>
      <w:r>
        <w:t xml:space="preserve">Prompt: </w:t>
      </w:r>
    </w:p>
    <w:p>
      <w:r>
        <w:t>--------------------</w:t>
      </w:r>
    </w:p>
    <w:p>
      <w:r>
        <w:t>The allocation of public funds towards space exploration remains a subject of considerable debate among policymakers. In my opinion, I strongly agree with the view that public funding should be allocated to space travel despite other pressing issues. This essay will provide two reasons supporting my idea.</w:t>
        <w:br/>
        <w:br/>
        <w:t>Investing in space exploration yields substantial technological advancements for terrestrial life. In other words, the pursuit of cosmic knowledge necessitates the development of sophisticated engineering and scientific tools. For instance, the development of satellite communication systems has revolutionized global connectivity and commerce. As a result, these advancements improve daily life on Earth, offering benefits far beyond the initial space objective. Hence, it becomes evident that space funding provides invaluable returns to the general public.</w:t>
        <w:br/>
        <w:br/>
        <w:t>Furthermore, space travel stimulates significant economic growth and job creation within specialized industries. This is primarily due to the fact that the space sector requires highly skilled researchers, engineers, and technicians. This can be exemplified by the fact that private companies building rockets and orbital stations employ thousands of people globally. The outcome is that this robust industrial activity stimulates related economic sectors, such as materials science and advanced computing. This clearly aligns with the view that public funding should support such pioneering ventures.</w:t>
        <w:br/>
        <w:br/>
        <w:t>In conclusion, I strongly agree that public funding should be allocated to space travel. The technological advancements derived from space exploration, alongside the economic growth stimulated by the space sector, justify this continued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