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#66 (c1)</w:t>
      </w:r>
    </w:p>
    <w:p>
      <w:r>
        <w:t xml:space="preserve">Prompt: </w:t>
      </w:r>
    </w:p>
    <w:p>
      <w:r>
        <w:t>--------------------</w:t>
      </w:r>
    </w:p>
    <w:p>
      <w:r>
        <w:t>Students have several avenues for acquiring knowledge about academic subjects, including digital platforms, physical texts, and discussions with educators or classmates. In my opinion, I strongly agree with the view that printed books and articles are the most reliable source of academic information. This essay will provide two reasons supporting my idea.</w:t>
        <w:br/>
        <w:br/>
        <w:t>The information obtained from online sources is readily accessible to a vast number of students. In other words, the sheer volume of data available online can be overwhelming for learners. For instance, a student researching history might encounter countless unverified blogs and forums. As a result, distinguishing credible material from misinformation becomes a significant challenge. Hence, it becomes evident that the veracity of online content requires considerable critical evaluation.</w:t>
        <w:br/>
        <w:br/>
        <w:t>Discussion with teachers and peers offers valuable insights into academic subjects. This is primarily due to the fact that these interactions provide immediate clarification and personalized perspectives. This can be exemplified by the fact that a student can ask a teacher specific questions about a complex concept. The outcome is that the student receives tailored guidance that complements the general material. This clearly aligns with the view that printed books and articles are the most reliable source of academic information.</w:t>
        <w:br/>
        <w:br/>
        <w:t>In conclusion, I strongly agree that printed books and articles are the most reliable source of academic information. While online sources offer accessibility and discussions with teachers and peers provide personalized perspectives, the structured nature and scholarly vetting of printed books and articles remain superior for deep learning.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