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 (b2)</w:t>
      </w:r>
    </w:p>
    <w:p>
      <w:r>
        <w:t xml:space="preserve">Prompt: </w:t>
      </w:r>
    </w:p>
    <w:p>
      <w:r>
        <w:t>--------------------</w:t>
      </w:r>
    </w:p>
    <w:p>
      <w:r>
        <w:t>The question of where to allocate limited national funds, between health services and education, is a major debate. In my opinion, I strongly agree with the view that health should receive more financial support than education. This essay will provide two reasons supporting my idea.</w:t>
        <w:br/>
        <w:br/>
        <w:t>Funding for education is important for a stable society. In other words, good schooling helps people get better jobs later in life. For instance, a child who attends a good school learns many skills for their future career. As a result, the workforce becomes more skilled and productive for the country. Hence, it becomes evident that education is a key area needing financial support.</w:t>
        <w:br/>
        <w:br/>
        <w:t>Health care deserves more financial support than education. This is primarily due to the fact that poor health can stop people from working or learning properly. This can be exemplified by the fact that a serious illness keeps a person away from school for many months. The outcome is that people lose valuable time and may never return to their previous level of life. This clearly aligns with the view that health should receive more financial support.</w:t>
        <w:br/>
        <w:br/>
        <w:t>In conclusion, while education is important for skills, I strongly agree that health should receive more financial support. Prioritizing health care funding helps people stay well, and this is more vital than focusing only on education funding for a stable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