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#6 (c1)</w:t>
      </w:r>
    </w:p>
    <w:p>
      <w:r>
        <w:t xml:space="preserve">Prompt: </w:t>
      </w:r>
    </w:p>
    <w:p>
      <w:r>
        <w:t>--------------------</w:t>
      </w:r>
    </w:p>
    <w:p>
      <w:r>
        <w:t>The allocation of financial resources among national services, specifically education and health, presents a complex societal debate. In my opinion, I strongly agree with the view that education should receive more financial support than health. This essay will provide two reasons supporting my idea.</w:t>
        <w:br/>
        <w:br/>
        <w:t>Prioritizing education funding is crucial for building a knowledgeable populace. In other words, a robust education system equips individuals with the necessary skills for professional life. For instance, adequate funding allows schools to update curricula and provide modern learning resources. As a result, students gain better opportunities to secure stable employment and improve their socioeconomic status. Hence, it becomes evident that educational investment yields long-term societal returns.</w:t>
        <w:br/>
        <w:br/>
        <w:t>Conversely, allocating substantial funds to healthcare is also vitally important for public well-being. This is primarily due to the fact that good health is a prerequisite for productive participation in society. This can be exemplified by the fact that preventative care initiatives, such as vaccination programs, significantly reduce community illness. The outcome is that a healthier workforce contributes more effectively to the national economy and reduces overall public expenditure. This clearly aligns with the view that health services are fundamental to human capital.</w:t>
        <w:br/>
        <w:br/>
        <w:t>In conclusion, I strongly agree with the view that education should receive more financial support than health. This is clear from prioritizing and conversely.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