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 (c1)</w:t>
      </w:r>
    </w:p>
    <w:p>
      <w:r>
        <w:t xml:space="preserve">Prompt: </w:t>
      </w:r>
    </w:p>
    <w:p>
      <w:r>
        <w:t>--------------------</w:t>
      </w:r>
    </w:p>
    <w:p>
      <w:r>
        <w:t>The allocation of financial resources among national services, such as education and health, presents a complex societal debate. In my opinion, I strongly agree with the view that health should receive more financial support than education. This essay will provide two reasons supporting my idea.</w:t>
        <w:br/>
        <w:br/>
        <w:t>Education is undeniably a crucial component of a functioning society. In other words, it provides the foundational knowledge necessary for individual growth and economic participation. For instance, adequate schooling ensures that citizens acquire the skills needed to enter the workforce successfully. As a result, a well-funded education system can reduce poverty rates and improve overall socioeconomic mobility. Hence, it becomes evident that educational funding is vital for human capital development.</w:t>
        <w:br/>
        <w:br/>
        <w:t>Health care services are equally important for maintaining a stable populace. This is primarily due to the fact that good health is a prerequisite for engaging in any form of productive activity. This can be exemplified by the fact that preventative care, such as vaccinations, significantly reduces the spread of communicable diseases. The outcome is that a robust public health infrastructure minimizes lost working days and enhances community resilience. This clearly aligns with the view that health should receive more financial support than education.</w:t>
        <w:br/>
        <w:br/>
        <w:t>In conclusion, while educational funding is vital for human capital development, I strongly agree that health should receive more financial support than education. Prioritizing health care services, which are essential for community resilience, is paramount to ensuring the overall well-being of the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