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#70 (b2)</w:t>
      </w:r>
    </w:p>
    <w:p>
      <w:r>
        <w:t xml:space="preserve">Prompt: </w:t>
      </w:r>
    </w:p>
    <w:p>
      <w:r>
        <w:t>--------------------</w:t>
      </w:r>
    </w:p>
    <w:p>
      <w:r>
        <w:t>It is often debated whether teenagers should receive lessons on personal finance, covering topics like saving and managing debt. In my opinion, I strongly agree with agree. This essay will provide two reasons supporting my idea.</w:t>
        <w:br/>
        <w:br/>
        <w:t>Teaching teenagers about personal finance is very important for their future lives. In other words, This knowledge helps them make smart decisions about money when they are adults. For instance, One clear advantage is that they learn how to manage their income and expenses well. As a result, A practical example is learning about creating a simple budget for their pocket money. Hence, it becomes evident that This result supports the view that early education in this area is highly beneficial.</w:t>
        <w:br/>
        <w:br/>
        <w:t>Financial education helps young people understand the risks and rewards of borrowing money. This is primarily due to the fact that This is primarily because they need to know about credit cards and loans. This can be exemplified by the fact that A practical example is learning how interest rates work on a credit card. The outcome is that they will approach debt with caution and responsibility. This clearly aligns with the view that This clearly supports the view that financial knowledge prevents future financial problems.</w:t>
        <w:br/>
        <w:br/>
        <w:t>In conclusion, I strongly agree with agree. This is clear from teaching and financial.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