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#70 (b2)</w:t>
      </w:r>
    </w:p>
    <w:p>
      <w:r>
        <w:t xml:space="preserve">Prompt: </w:t>
      </w:r>
    </w:p>
    <w:p>
      <w:r>
        <w:t>--------------------</w:t>
      </w:r>
    </w:p>
    <w:p>
      <w:r>
        <w:t>Some people believe that teenagers should learn about personal finance topics, such as saving money and managing debt. In my opinion, I strongly disagree with disagree. This essay will provide two reasons supporting my idea.</w:t>
        <w:br/>
        <w:br/>
        <w:t>One clear advantage is that teenagers need to focus on many other important areas of life. In other words, This is because they must learn about social skills and academic subjects first. For instance, A practical example is that school lessons teach many things, but they do not teach how to talk to people. As a result, The effect is that if they only learn about money, they might struggle with talking to people. Hence, it becomes evident that This result supports the view that other life skills are more important at this stage.</w:t>
        <w:br/>
        <w:br/>
        <w:t>Another reason is that teaching finance to teenagers is often not effective without proper adult guidance. This is primarily due to the fact that young people lack the real-life experience to apply complex financial rules. This can be exemplified by the fact that A practical example is that a book lesson on saving money does not match real market changes. The outcome is that the knowledge is hard to use in daily life. This clearly aligns with the view that This clearly supports the view that practical experience is better than classroom learning.</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