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#70 (c1)</w:t>
      </w:r>
    </w:p>
    <w:p>
      <w:r>
        <w:t xml:space="preserve">Prompt: </w:t>
      </w:r>
    </w:p>
    <w:p>
      <w:r>
        <w:t>--------------------</w:t>
      </w:r>
    </w:p>
    <w:p>
      <w:r>
        <w:t>It is widely debated whether teenagers should receive formal education concerning personal finance principles, such as managing debt and investing. In my opinion, I strongly agree with agree. This essay will provide two reasons supporting my idea.</w:t>
        <w:br/>
        <w:br/>
        <w:t>Teaching financial principles to young people is crucial for their future stability. In other words, understanding concepts like budgeting and savings is essential for navigating adult life in everyday life in everyday life in everyday life. For instance, learning about compound interest helps students grasp the power of early investment. As a result, they are less likely to fall into high-interest debt traps later on. Hence, it becomes evident that early financial education promotes fiscal responsibility.</w:t>
        <w:br/>
        <w:br/>
        <w:t>Furthermore, financial education equips teenagers with necessary life skills for economic independence. This is primarily due to the fact that managing income and expenses requires systematic knowledge in everyday life in everyday life. This can be exemplified by the fact that understanding credit card usage prevents overspending. The outcome is that young adults develop sound habits regarding their financial assets. This clearly aligns with the view that proactive financial learning is vital for maturity.</w:t>
        <w:br/>
        <w:br/>
        <w:t>In conclusion, I strongly agree with agree. This is clear from teaching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