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#70 (c1)</w:t>
      </w:r>
    </w:p>
    <w:p>
      <w:r>
        <w:t xml:space="preserve">Prompt: </w:t>
      </w:r>
    </w:p>
    <w:p>
      <w:r>
        <w:t>--------------------</w:t>
      </w:r>
    </w:p>
    <w:p>
      <w:r>
        <w:t>The suggestion that teenagers should receive formal instruction on personal finance topics, such as investing and managing debt, is a widely debated educational issue. In my opinion, I strongly disagree with disagree. This essay will provide two reasons supporting my idea.</w:t>
        <w:br/>
        <w:br/>
        <w:t>Curriculum development should prioritize core academic subjects over specialized financial training. In other words, the educational system already provides sufficient opportunities for practical life skills acquisition. For instance, teenagers gain valuable financial understanding through managing allowances or part-time employment earnings. As a result, forcing formal lessons might detract from the study of crucial subjects like literature or mathematics. Hence, it becomes evident that relying on existing life experiences is more beneficial for comprehensive development.</w:t>
        <w:br/>
        <w:br/>
        <w:t>Furthermore, financial aptitude is heavily influenced by family environment and socioeconomic background. This is primarily due to the fact that financial knowledge is often transmitted through observation and familial habits. This can be exemplified by the fact that children raised in financially stable households naturally absorb prudent spending habits. The outcome is that mandatory lessons might fail to address the unique financial realities faced by diverse student populations. This clearly aligns with the view that parental guidance remains the most effective source of financial education.</w:t>
        <w:br/>
        <w:br/>
        <w:t>In conclusion, I strongly disagree with disagree. This is clear from curriculum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