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#72 (b2)</w:t>
      </w:r>
    </w:p>
    <w:p>
      <w:r>
        <w:t xml:space="preserve">Prompt: </w:t>
      </w:r>
    </w:p>
    <w:p>
      <w:r>
        <w:t>--------------------</w:t>
      </w:r>
    </w:p>
    <w:p>
      <w:r>
        <w:t>The way buildings are designed can greatly influence where people choose to live and where they go to work. In my opinion, I strongly positive with the view that the design of buildings affects where people live and work positively. This essay will provide two reasons supporting my idea.</w:t>
        <w:br/>
        <w:br/>
        <w:t>On the one hand, good building design can greatly improve the quality of life in a community. In other words, thoughtful planning makes daily routines much easier for residents. For instance, a neighborhood with small shops and offices close to homes is very convenient. As a result, people do not need to travel long distances every day. Hence, it becomes evident that good design supports a strong local community.</w:t>
        <w:br/>
        <w:br/>
        <w:t>On the other hand, poor building design can create significant problems for people living in an area. This is primarily due to the fact that badly planned structures often lack necessary services. This can be exemplified by the fact that some large office blocks are far from public transport links. The outcome is that workers must spend much time and money on commuting. This clearly aligns with the view that poor design creates a major disadvantage.</w:t>
        <w:br/>
        <w:br/>
        <w:t>In conclusion, I strongly agree that the design of buildings affects where people live and work positively. Good design supports a strong local community, and while poor design creates a major disadvantage, the positive effects are more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