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#72 (b2)</w:t>
      </w:r>
    </w:p>
    <w:p>
      <w:r>
        <w:t xml:space="preserve">Prompt: </w:t>
      </w:r>
    </w:p>
    <w:p>
      <w:r>
        <w:t>--------------------</w:t>
      </w:r>
    </w:p>
    <w:p>
      <w:r>
        <w:t>The way buildings are designed can greatly influence where people choose to live and where they go to work. In my opinion, I strongly negative with the view that the design of buildings affects where people live and work negatively. This essay will provide two reasons supporting my idea.</w:t>
        <w:br/>
        <w:br/>
        <w:t>On the one hand, good building design can create convenient places for people to live. In other words, well-planned structures can put shops and services close to homes. For instance, a neighborhood with local shops on the ground floor makes daily life easier. As a result, people do not need to travel far for basic needs, which saves time. Hence, it becomes evident that good design supports a strong community feeling.</w:t>
        <w:br/>
        <w:br/>
        <w:t>On the other hand, poor building design presents a significant disadvantage to people's daily lives. This is primarily due to the fact that bad layouts often separate places where people live from places where they work. This can be exemplified by the fact that residential areas are far from job centers. The outcome is that people must use cars for long journeys, which is bad for the environment. This clearly aligns with the view that poor design creates problems for people.</w:t>
        <w:br/>
        <w:br/>
        <w:t>In conclusion, I strongly disagree with the view that the design of buildings affects where people live and work negatively. While good design supports a strong community feeling, poor design creates problems for people, making the negative impact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