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#78 (c1)</w:t>
      </w:r>
    </w:p>
    <w:p>
      <w:r>
        <w:t xml:space="preserve">Prompt: </w:t>
      </w:r>
    </w:p>
    <w:p>
      <w:r>
        <w:t>--------------------</w:t>
      </w:r>
    </w:p>
    <w:p>
      <w:r>
        <w:t>The necessity of newspapers in contemporary society has become a subject of considerable debate. In my opinion, I strongly disagree with disagree. This essay will provide two reasons supporting my idea.</w:t>
        <w:br/>
        <w:br/>
        <w:t>Newspapers remain vital sources for disseminating reliable facts to the public. In other words, they provide curated content that has undergone rigorous editorial scrutiny. For instance, local newspapers often cover community events and political proceedings that digital platforms overlook. As a result, citizens gain a comprehensive understanding of their immediate surroundings and governance. Hence, it becomes evident that print journalism offers a depth of local coverage that is difficult to replicate.</w:t>
        <w:br/>
        <w:br/>
        <w:t>Furthermore, newspapers contribute significantly to the preservation of historical records and knowledge. This is primarily due to the fact that they serve as tangible archives of past events and societal shifts. This can be exemplified by the fact that historical newspaper editions provide primary source material for academic research. The outcome is that future generations can study the evolution of ideas and public opinion over time. This clearly aligns with the view that print media is an indispensable tool for scholarly inquiry.</w:t>
        <w:br/>
        <w:br/>
        <w:t>In conclusion, I strongly disagree with the notion that newspapers are obsolete. Print journalism provides essential local coverage, and furthermore, it remains an indispensable tool for scholarly inquiry, confirming their continued relevance in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