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#81 (c1)</w:t>
      </w:r>
    </w:p>
    <w:p>
      <w:r>
        <w:t xml:space="preserve">Prompt: </w:t>
      </w:r>
    </w:p>
    <w:p>
      <w:r>
        <w:t>--------------------</w:t>
      </w:r>
    </w:p>
    <w:p>
      <w:r>
        <w:t>The decision for students to undertake part-time employment presents various considerations regarding their academic and personal growth. In my opinion, I strongly positive with positive. This essay will provide two reasons supporting my idea.</w:t>
        <w:br/>
        <w:br/>
        <w:t>One clear advantage is the acquisition of practical work experience. In other words, students gain exposure to professional environments outside the classroom setting. For instance, a student working in a retail store learns customer service skills and inventory management. As a result, they develop a deeper understanding of workplace dynamics and professional etiquette. Hence, it becomes evident that part-time jobs significantly enhance a student's professional skill set.</w:t>
        <w:br/>
        <w:br/>
        <w:t>Another benefit is the development of crucial time management abilities. This is primarily due to the fact that students must coordinate work schedules with their academic commitments. This can be exemplified by the fact that a student juggling classes and shifts learns to prioritize tasks effectively. The outcome is that they become adept at balancing multiple responsibilities, improving overall organizational skills. This clearly aligns with the view that part-time employment fosters superior self-discipline.</w:t>
        <w:br/>
        <w:br/>
        <w:t>In conclusion, I strongly agree that part-time jobs are beneficial for students. These jobs enhance professional skill set through practical work experience and improve time management abilities by requiring students to balance multiple responsibilities.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