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#86 (b2)</w:t>
      </w:r>
    </w:p>
    <w:p>
      <w:r>
        <w:t xml:space="preserve">Prompt: </w:t>
      </w:r>
    </w:p>
    <w:p>
      <w:r>
        <w:t>--------------------</w:t>
      </w:r>
    </w:p>
    <w:p>
      <w:r>
        <w:t>The rise of digital media online has caused some people to think that libraries are no longer needed, and that universities should only buy digital materials for learning. In my opinion, I strongly disagree with disagree. This essay will provide two reasons supporting my idea.</w:t>
        <w:br/>
        <w:br/>
        <w:t>Libraries remain important centers for learning and research. In other words, they offer physical spaces and collections that digital formats cannot fully replace. For instance, a student might need to study in a quiet, dedicated space with physical books. As a result, the library provides a supportive environment for deep study and group work. Hence, it becomes evident that libraries offer more than just books; they offer a complete learning experience.</w:t>
        <w:br/>
        <w:br/>
        <w:t>Universities still need to update their physical textbooks and resources. This is primarily due to the fact that many academic subjects require hands-on interaction with physical materials. This can be exemplified by the fact that science departments often use physical models and lab equipment. The outcome is that relying only on digital media limits practical learning opportunities for students. This clearly aligns with the view that physical resources are necessary for a full academic education.</w:t>
        <w:br/>
        <w:br/>
        <w:t>In conclusion, I strongly disagree with the idea that libraries are obsolete and that universities should only buy digital materials. Libraries provide essential physical spaces, and physical resources are necessary for a full academic education, showing that both are important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