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#86 (c1)</w:t>
      </w:r>
    </w:p>
    <w:p>
      <w:r>
        <w:t xml:space="preserve">Prompt: </w:t>
      </w:r>
    </w:p>
    <w:p>
      <w:r>
        <w:t>--------------------</w:t>
      </w:r>
    </w:p>
    <w:p>
      <w:r>
        <w:t>The proliferation of digital media has prompted debate regarding the continued necessity of traditional libraries and the procurement of academic resources. In my opinion, I strongly agree with agree. This essay will provide two reasons supporting my idea.</w:t>
        <w:br/>
        <w:br/>
        <w:t>The shift toward digital resources offers considerable advantages for educational institutions. In other words, universities can acquire vast amounts of information without the physical constraints associated with printed materials. For instance, a university can subscribe to global academic databases, granting access to millions of articles instantly. As a result, students gain immediate and comprehensive access to diverse scholarly viewpoints. Hence, it becomes evident that digital procurement significantly enhances the breadth of available knowledge.</w:t>
        <w:br/>
        <w:br/>
        <w:t>Furthermore, relying solely on digital media streamlines the academic process considerably. This is primarily due to the fact that digital formats allow for unparalleled adaptability and easy updating of curricula. This can be exemplified by the fact that textbooks can be updated in real-time to reflect the latest scientific discoveries. The outcome is that educational content remains highly current and relevant to modern research. This clearly aligns with the view that digital resources are superior for academic development.</w:t>
        <w:br/>
        <w:br/>
        <w:t>In conclusion, I strongly agree with agree. This is clear from shift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