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#86 (c1)</w:t>
      </w:r>
    </w:p>
    <w:p>
      <w:r>
        <w:t xml:space="preserve">Prompt: </w:t>
      </w:r>
    </w:p>
    <w:p>
      <w:r>
        <w:t>--------------------</w:t>
      </w:r>
    </w:p>
    <w:p>
      <w:r>
        <w:t>The proliferation of digital media has led some to suggest that libraries are becoming irrelevant, advocating for universities to prioritize digital resources over updating physical textbooks. In my opinion, I strongly disagree with disagree. This essay will provide two reasons supporting my idea.</w:t>
        <w:br/>
        <w:br/>
        <w:t>The assertion that libraries are obsolete overlooks their crucial function in providing curated, physical collections. In other words, libraries offer a controlled environment for deep research and physical interaction with materials. For instance, a student studying history might require access to rare, printed manuscripts that have not been digitized. As a result, the physical presence of these unique items ensures comprehensive academic study. Hence, it becomes evident that libraries remain indispensable repositories of knowledge.</w:t>
        <w:br/>
        <w:br/>
        <w:t>Furthermore, relying solely on digital media neglects the vital role libraries play in bridging the digital divide. This is primarily due to the fact that not all students possess consistent, high-speed internet access or necessary hardware. This can be exemplified by the fact that many low-income students depend on library computers for their coursework. The outcome is that the library provides equitable access to educational resources for all members of the community. This clearly aligns with the view that libraries are essential community hubs.</w:t>
        <w:br/>
        <w:br/>
        <w:t>In conclusion, I strongly disagree with disagree. This is clear from assertion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