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#87 (b2)</w:t>
      </w:r>
    </w:p>
    <w:p>
      <w:r>
        <w:t xml:space="preserve">Prompt: </w:t>
      </w:r>
    </w:p>
    <w:p>
      <w:r>
        <w:t>--------------------</w:t>
      </w:r>
    </w:p>
    <w:p>
      <w:r>
        <w:t>Xenophobia, or the fear of foreigners, remains a serious social issue in many parts of the world. In my opinion, I strongly agree with the view that xenophobia can be addressed through government and individual action. This essay will provide two reasons supporting my idea.</w:t>
        <w:br/>
        <w:br/>
        <w:t>The major reason is that economic difficulties often create a sense of fear and suspicion among local populations. In other words, people sometimes blame outsiders for job losses or resource shortages. For instance, when a local factory closes, people might wrongly target immigrant workers as the cause. As a result, tensions rise, leading to unfair treatment and discrimination against foreign groups. Hence, it becomes evident that addressing the root causes of economic stress is necessary to reduce xenophobia.</w:t>
        <w:br/>
        <w:br/>
        <w:t>One effective solution is promoting better education and cultural exchange programs. This is primarily due to the fact that knowledge helps people understand different cultures and backgrounds. This can be exemplified by the fact that schools can organize trips or workshops bringing together students from various nations. The outcome is that students develop empathy and respect for diversity, moving away from prejudice. This clearly aligns with the view that education is a powerful tool for solving social problems.</w:t>
        <w:br/>
        <w:br/>
        <w:t>In conclusion, I strongly agree that xenophobia can be addressed through government and individual action. Tackling the major reason of economic stress and promoting better education are key steps to building a more accepting society.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