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#87 (c1)</w:t>
      </w:r>
    </w:p>
    <w:p>
      <w:r>
        <w:t xml:space="preserve">Prompt: </w:t>
      </w:r>
    </w:p>
    <w:p>
      <w:r>
        <w:t>--------------------</w:t>
      </w:r>
    </w:p>
    <w:p>
      <w:r>
        <w:t>Xenophobia, the fear or dislike of people from other countries, remains a significant global challenge. In my opinion, I strongly agree with the view that xenophobia can be addressed through government and individual action. This essay will provide two reasons supporting my idea.</w:t>
        <w:br/>
        <w:br/>
        <w:t>The major reason is the spread of misinformation through digital platforms. In other words, unchecked narratives often portray outsiders as threats to national security or culture. For instance, online groups frequently disseminate fabricated stories targeting specific ethnic communities. As a result, public suspicion escalates, leading to discriminatory actions against immigrants. Hence, it becomes evident that addressing the spread of misinformation is crucial for mitigating xenophobia.</w:t>
        <w:br/>
        <w:br/>
        <w:t>One effective solution is promoting comprehensive cultural exchange programs. This is primarily due to the fact that direct interaction breaks down preconceived biases and fosters empathy. This can be exemplified by the fact that student exchange initiatives allow young people to live within different cultural contexts. The outcome is that mutual understanding develops, replacing fear with genuine appreciation for diversity. This clearly aligns with the view that education and exchange are powerful tools for combating xenophobia.</w:t>
        <w:br/>
        <w:br/>
        <w:t>In conclusion, I strongly agree that xenophobia can be addressed through government and individual action. Combating the spread of misinformation and promoting cultural exchange are essential steps toward fostering a more inclusive global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