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 (c1)</w:t>
      </w:r>
    </w:p>
    <w:p>
      <w:r>
        <w:t xml:space="preserve">Prompt: </w:t>
      </w:r>
    </w:p>
    <w:p>
      <w:r>
        <w:t>--------------------</w:t>
      </w:r>
    </w:p>
    <w:p>
      <w:r>
        <w:t>The necessity of large public open spaces in all urban settlements is a subject of considerable debate. In my opinion, I strongly disagree with the view that every city should have at least one large public open space. This essay will provide two reasons supporting my idea.</w:t>
        <w:br/>
        <w:br/>
        <w:t>While green areas are beneficial for community well-being, mandating a large public open space in every town is impractical. In other words, urban planning must consider diverse geographical and economic realities. For instance, densely populated industrial zones often lack the necessary acreage for a substantial park. As a result, forcing such a facility could necessitate the demolition of existing, functional residential structures. Hence, it becomes evident that alternative, smaller-scale green infrastructure solutions are more appropriate.</w:t>
        <w:br/>
        <w:br/>
        <w:t>Furthermore, focusing solely on large parks overlooks the unique needs of specific local areas. This is primarily due to the fact that smaller, decentralized amenities better serve varied community needs. This can be exemplified by the fact that some neighborhoods thrive with a network of small community gardens and pocket parks. The outcome is that these distributed spaces enhance accessibility and foster localized community cohesion. This clearly aligns with the view that tailored, varied green spaces are superior to a single, massive facility.</w:t>
        <w:br/>
        <w:br/>
        <w:t>In conclusion, I strongly disagree with the view that every city should have at least one large public open space. This is because urban planning must account for diverse geographical and economic realities, and decentralized amenities are superior for enhancing accessibility and fostering localized community cohesion.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