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(c1)</w:t>
      </w:r>
    </w:p>
    <w:p>
      <w:r>
        <w:t xml:space="preserve">Prompt: </w:t>
      </w:r>
    </w:p>
    <w:p>
      <w:r>
        <w:t>--------------------</w:t>
      </w:r>
    </w:p>
    <w:p>
      <w:r>
        <w:t>Many societies implement age restrictions on various activities, such as voting, driving, and purchasing certain items. In my opinion, I strongly agree with agree. This essay will provide two reasons supporting my idea.</w:t>
        <w:br/>
        <w:br/>
        <w:t>These limitations are necessary because young people lack the full capacity for complex decision-making. In other words, the developing minds of adolescents require guidance to navigate challenging situations in everyday life. For instance, driving a vehicle demands not only physical skill but also sound judgment regarding traffic laws. As a result, restricting the ability to operate machinery until a certain age ensures public safety. Hence, it becomes evident that minimum age requirements are crucial for maintaining community well-being.</w:t>
        <w:br/>
        <w:br/>
        <w:t>Furthermore, restricting certain rights until maturity is essential for personal accountability. This is primarily due to the fact that individuals must accumulate sufficient life experience before assuming major responsibilities in everyday life. This can be exemplified by the fact that voting requires understanding complex political issues and socioeconomic implications. The outcome is that delaying these rights until adulthood allows for proper education and preparation. This clearly aligns with the view that age restrictions promote responsible development.</w:t>
        <w:br/>
        <w:br/>
        <w:t>In conclusion, I strongly agree with agree. This is clear from limitations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