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#90 (c1)</w:t>
      </w:r>
    </w:p>
    <w:p>
      <w:r>
        <w:t xml:space="preserve">Prompt: </w:t>
      </w:r>
    </w:p>
    <w:p>
      <w:r>
        <w:t>--------------------</w:t>
      </w:r>
    </w:p>
    <w:p>
      <w:r>
        <w:t>Many societies implement age restrictions on various activities, such as voting, driving, and purchasing certain goods. In my opinion, I strongly disagree with disagree. This essay will provide two reasons supporting my idea.</w:t>
        <w:br/>
        <w:br/>
        <w:t>These limitations often restrict the autonomy of young people, limiting their ability to participate fully in society. In other words, denying individuals the chance to act based on their developing judgment is counterproductive. For instance, requiring a minimum age to drive prevents young adults from gaining essential practical experience. As a result, their ability to manage personal responsibilities and navigate complex environments is severely hampered. Hence, it becomes evident that these restrictions impede natural development and self-reliance.</w:t>
        <w:br/>
        <w:br/>
        <w:t>Furthermore, age restrictions often fail to account for individual maturity levels and capabilities. This is primarily due to the fact that intellectual capacity and emotional readiness vary greatly among adolescents. This can be exemplified by the fact that some young people demonstrate the accountability needed to handle significant legal decisions. The outcome is that blanket mandates overlook genuine competence, treating all individuals as uniformly vulnerable. This clearly aligns with the view that personal capacity should be the primary determinant of rights.</w:t>
        <w:br/>
        <w:br/>
        <w:t>In conclusion, I strongly disagree with disagree. This is clear from limitations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