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#91 (c1)</w:t>
      </w:r>
    </w:p>
    <w:p>
      <w:r>
        <w:t xml:space="preserve">Prompt: </w:t>
      </w:r>
    </w:p>
    <w:p>
      <w:r>
        <w:t>--------------------</w:t>
      </w:r>
    </w:p>
    <w:p>
      <w:r>
        <w:t>The management of urban density and the resulting issue of overcrowding is a complex issue that requires careful consideration. In my opinion, I strongly agree with agree. This essay will provide two reasons supporting my idea.</w:t>
        <w:br/>
        <w:br/>
        <w:t>City planners are fundamentally responsible for addressing the issue of overcrowding in metropolitan areas. In other words, they possess the specialized knowledge and technical expertise necessary to manage rapid population growth. For instance, they can design efficient public transportation networks and allocate resources for new housing developments. As a result, infrastructure strain can be mitigated, improving the overall quality of life for residents. Hence, it becomes evident that professional urban planning is crucial for sustainable city development.</w:t>
        <w:br/>
        <w:br/>
        <w:t>Policy-making bodies must establish the overarching guidelines that guide urban development efforts. This is primarily due to the fact that these governing groups determine the financial allocations and legal frameworks for city projects. This can be exemplified by the fact that they approve zoning regulations, which dictate how land can be utilized within a city. The outcome is that a cohesive and regulated approach to growth is maintained, preventing haphazard urban sprawl. This clearly aligns with the view that policy makers must set the foundational rules for urban planning.</w:t>
        <w:br/>
        <w:br/>
        <w:t>In conclusion, I strongly agree that both policy-making bodies and city planners are essential. Policy makers must set the foundational rules, while planners must use their expertise to manage the resulting urban density and overcrowding.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